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685"/>
        <w:gridCol w:w="11565"/>
      </w:tblGrid>
      <w:tr>
        <w:tc>
          <w:tcPr>
            <w:tcW w:type="dxa" w:w="3685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r>
              <w:drawing>
                <wp:inline xmlns:a="http://schemas.openxmlformats.org/drawingml/2006/main" xmlns:pic="http://schemas.openxmlformats.org/drawingml/2006/picture">
                  <wp:extent cx="1655999" cy="725328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CDS-new-logo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5999" cy="72532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11565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right"/>
            </w:pPr>
            <w:r>
              <w:rPr>
                <w:rFonts w:ascii="Poppins" w:hAnsi="Poppins"/>
                <w:b/>
                <w:color w:val="0E3A66"/>
                <w:sz w:val="22"/>
              </w:rPr>
              <w:t>Références DSP</w:t>
            </w:r>
          </w:p>
        </w:tc>
      </w:tr>
    </w:tbl>
    <w:p>
      <w:pPr>
        <w:spacing w:before="120" w:after="40"/>
      </w:pPr>
      <w:r>
        <w:rPr>
          <w:rFonts w:ascii="Poppins" w:hAnsi="Poppins"/>
          <w:b/>
          <w:color w:val="0E3A66"/>
          <w:sz w:val="32"/>
        </w:rPr>
        <w:t>Références en exploitation et maintenance de systèmes solaires (DSP)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247"/>
      </w:tblGrid>
      <w:tr>
        <w:tc>
          <w:tcPr>
            <w:tcW w:type="dxa" w:w="1247"/>
            <w:shd w:val="clear" w:color="auto" w:fill="FB8148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0"/>
            </w:pPr>
            <w:r>
              <w:rPr>
                <w:sz w:val="6"/>
              </w:rPr>
              <w:t xml:space="preserve"> </w:t>
            </w:r>
          </w:p>
        </w:tc>
      </w:tr>
    </w:tbl>
    <w:p>
      <w:pPr>
        <w:spacing w:after="8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050"/>
        <w:gridCol w:w="3050"/>
        <w:gridCol w:w="3050"/>
        <w:gridCol w:w="3050"/>
        <w:gridCol w:w="3050"/>
      </w:tblGrid>
      <w:tr>
        <w:trPr>
          <w:tblHeader w:val="true"/>
          <w:cantSplit/>
        </w:trPr>
        <w:tc>
          <w:tcPr>
            <w:tcW w:type="dxa" w:w="3742"/>
            <w:shd w:val="clear" w:color="auto" w:fill="0E3A66"/>
            <w:tcBorders>
              <w:top w:val="nil"/>
              <w:left w:val="nil"/>
              <w:bottom w:val="nil"/>
              <w:right w:val="nil"/>
            </w:tcBorders>
            <w:tcMar>
              <w:top w:w="70" w:type="dxa"/>
              <w:bottom w:w="70" w:type="dxa"/>
              <w:start w:w="11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Poppins" w:hAnsi="Poppins"/>
                <w:b/>
                <w:color w:val="FFFFFF"/>
                <w:sz w:val="16"/>
              </w:rPr>
              <w:t>TYPE DE PRESTATIONS</w:t>
            </w:r>
          </w:p>
        </w:tc>
        <w:tc>
          <w:tcPr>
            <w:tcW w:type="dxa" w:w="2381"/>
            <w:shd w:val="clear" w:color="auto" w:fill="0E3A66"/>
            <w:tcBorders>
              <w:top w:val="nil"/>
              <w:left w:val="nil"/>
              <w:bottom w:val="nil"/>
              <w:right w:val="nil"/>
            </w:tcBorders>
            <w:tcMar>
              <w:top w:w="70" w:type="dxa"/>
              <w:bottom w:w="70" w:type="dxa"/>
              <w:start w:w="11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Poppins" w:hAnsi="Poppins"/>
                <w:b/>
                <w:color w:val="FFFFFF"/>
                <w:sz w:val="16"/>
              </w:rPr>
              <w:t>M. OUVRAGE</w:t>
            </w:r>
          </w:p>
        </w:tc>
        <w:tc>
          <w:tcPr>
            <w:tcW w:type="dxa" w:w="2381"/>
            <w:shd w:val="clear" w:color="auto" w:fill="0E3A66"/>
            <w:tcBorders>
              <w:top w:val="nil"/>
              <w:left w:val="nil"/>
              <w:bottom w:val="nil"/>
              <w:right w:val="nil"/>
            </w:tcBorders>
            <w:tcMar>
              <w:top w:w="70" w:type="dxa"/>
              <w:bottom w:w="70" w:type="dxa"/>
              <w:start w:w="11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Poppins" w:hAnsi="Poppins"/>
                <w:b/>
                <w:color w:val="FFFFFF"/>
                <w:sz w:val="16"/>
              </w:rPr>
              <w:t>TYPE DE CONTRAT</w:t>
            </w:r>
          </w:p>
        </w:tc>
        <w:tc>
          <w:tcPr>
            <w:tcW w:type="dxa" w:w="3628"/>
            <w:shd w:val="clear" w:color="auto" w:fill="0E3A66"/>
            <w:tcBorders>
              <w:top w:val="nil"/>
              <w:left w:val="nil"/>
              <w:bottom w:val="nil"/>
              <w:right w:val="nil"/>
            </w:tcBorders>
            <w:tcMar>
              <w:top w:w="70" w:type="dxa"/>
              <w:bottom w:w="70" w:type="dxa"/>
              <w:start w:w="11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Poppins" w:hAnsi="Poppins"/>
                <w:b/>
                <w:color w:val="FFFFFF"/>
                <w:sz w:val="16"/>
              </w:rPr>
              <w:t>DESCRIPTION DU SERVICE</w:t>
            </w:r>
          </w:p>
        </w:tc>
        <w:tc>
          <w:tcPr>
            <w:tcW w:type="dxa" w:w="3061"/>
            <w:shd w:val="clear" w:color="auto" w:fill="0E3A66"/>
            <w:tcBorders>
              <w:top w:val="nil"/>
              <w:left w:val="nil"/>
              <w:bottom w:val="nil"/>
              <w:right w:val="nil"/>
            </w:tcBorders>
            <w:tcMar>
              <w:top w:w="70" w:type="dxa"/>
              <w:bottom w:w="70" w:type="dxa"/>
              <w:start w:w="11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Poppins" w:hAnsi="Poppins"/>
                <w:b/>
                <w:color w:val="FFFFFF"/>
                <w:sz w:val="16"/>
              </w:rPr>
              <w:t>DURÉE DU SERVICE / PÉRIODE COUVERTE</w:t>
            </w:r>
          </w:p>
        </w:tc>
      </w:tr>
      <w:tr>
        <w:trPr>
          <w:cantSplit/>
        </w:trPr>
        <w:tc>
          <w:tcPr>
            <w:tcW w:type="dxa" w:w="3742"/>
            <w:shd w:val="clear" w:color="auto" w:fill="FFFFFF"/>
            <w:tcBorders>
              <w:top w:val="nil"/>
              <w:left w:val="nil"/>
              <w:bottom w:val="single" w:sz="4" w:color="E4EAF1"/>
              <w:right w:val="nil"/>
            </w:tcBorders>
            <w:tcMar>
              <w:top w:w="80" w:type="dxa"/>
              <w:bottom w:w="80" w:type="dxa"/>
              <w:start w:w="110" w:type="dxa"/>
              <w:end w:w="110" w:type="dxa"/>
            </w:tcMar>
            <w:vAlign w:val="top"/>
          </w:tcPr>
          <w:p>
            <w:pPr>
              <w:spacing w:after="0" w:before="0" w:line="252" w:lineRule="auto"/>
            </w:pPr>
            <w:r>
              <w:rPr>
                <w:rFonts w:ascii="Poppins" w:hAnsi="Poppins"/>
                <w:b/>
                <w:color w:val="0E3A66"/>
                <w:sz w:val="18"/>
              </w:rPr>
              <w:t>Licence pour la délégation du service Public d’électricité dans la localité de Tendeghmadek</w:t>
            </w:r>
          </w:p>
        </w:tc>
        <w:tc>
          <w:tcPr>
            <w:tcW w:type="dxa" w:w="2381"/>
            <w:shd w:val="clear" w:color="auto" w:fill="FFFFFF"/>
            <w:tcBorders>
              <w:top w:val="nil"/>
              <w:left w:val="nil"/>
              <w:bottom w:val="single" w:sz="4" w:color="E4EAF1"/>
              <w:right w:val="nil"/>
            </w:tcBorders>
            <w:tcMar>
              <w:top w:w="80" w:type="dxa"/>
              <w:bottom w:w="80" w:type="dxa"/>
              <w:start w:w="110" w:type="dxa"/>
              <w:end w:w="110" w:type="dxa"/>
            </w:tcMar>
            <w:vAlign w:val="top"/>
          </w:tcPr>
          <w:p>
            <w:pPr>
              <w:spacing w:after="0" w:before="0" w:line="252" w:lineRule="auto"/>
            </w:pPr>
            <w:r>
              <w:rPr>
                <w:rFonts w:ascii="Helvetica Neue" w:hAnsi="Helvetica Neue"/>
                <w:b w:val="0"/>
                <w:color w:val="13202F"/>
                <w:sz w:val="17"/>
              </w:rPr>
              <w:t>Ministère de pétrole, d’énergie et des Mines</w:t>
            </w:r>
          </w:p>
        </w:tc>
        <w:tc>
          <w:tcPr>
            <w:tcW w:type="dxa" w:w="2381"/>
            <w:shd w:val="clear" w:color="auto" w:fill="FFFFFF"/>
            <w:tcBorders>
              <w:top w:val="nil"/>
              <w:left w:val="nil"/>
              <w:bottom w:val="single" w:sz="4" w:color="E4EAF1"/>
              <w:right w:val="nil"/>
            </w:tcBorders>
            <w:tcMar>
              <w:top w:w="80" w:type="dxa"/>
              <w:bottom w:w="80" w:type="dxa"/>
              <w:start w:w="110" w:type="dxa"/>
              <w:end w:w="110" w:type="dxa"/>
            </w:tcMar>
            <w:vAlign w:val="top"/>
          </w:tcPr>
          <w:p>
            <w:pPr>
              <w:spacing w:after="0" w:before="0" w:line="252" w:lineRule="auto"/>
            </w:pPr>
            <w:r>
              <w:rPr>
                <w:rFonts w:ascii="Helvetica Neue" w:hAnsi="Helvetica Neue"/>
                <w:b/>
                <w:color w:val="1B5A97"/>
                <w:sz w:val="17"/>
              </w:rPr>
              <w:t>Arrêté N° 789/MEPMi et Cahier de Charges</w:t>
            </w:r>
          </w:p>
        </w:tc>
        <w:tc>
          <w:tcPr>
            <w:tcW w:type="dxa" w:w="3628"/>
            <w:shd w:val="clear" w:color="auto" w:fill="FFFFFF"/>
            <w:tcBorders>
              <w:top w:val="nil"/>
              <w:left w:val="nil"/>
              <w:bottom w:val="single" w:sz="4" w:color="E4EAF1"/>
              <w:right w:val="nil"/>
            </w:tcBorders>
            <w:tcMar>
              <w:top w:w="80" w:type="dxa"/>
              <w:bottom w:w="80" w:type="dxa"/>
              <w:start w:w="110" w:type="dxa"/>
              <w:end w:w="110" w:type="dxa"/>
            </w:tcMar>
            <w:vAlign w:val="top"/>
          </w:tcPr>
          <w:p>
            <w:pPr>
              <w:spacing w:after="0" w:before="0" w:line="252" w:lineRule="auto"/>
            </w:pPr>
            <w:r>
              <w:rPr>
                <w:rFonts w:ascii="Helvetica Neue" w:hAnsi="Helvetica Neue"/>
                <w:b w:val="0"/>
                <w:color w:val="13202F"/>
                <w:sz w:val="17"/>
              </w:rPr>
              <w:t>Production et distribution et vente d’énergie électrique</w:t>
            </w:r>
          </w:p>
        </w:tc>
        <w:tc>
          <w:tcPr>
            <w:tcW w:type="dxa" w:w="3061"/>
            <w:shd w:val="clear" w:color="auto" w:fill="FFFFFF"/>
            <w:tcBorders>
              <w:top w:val="nil"/>
              <w:left w:val="nil"/>
              <w:bottom w:val="single" w:sz="4" w:color="E4EAF1"/>
              <w:right w:val="nil"/>
            </w:tcBorders>
            <w:tcMar>
              <w:top w:w="80" w:type="dxa"/>
              <w:bottom w:w="80" w:type="dxa"/>
              <w:start w:w="110" w:type="dxa"/>
              <w:end w:w="11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Helvetica Neue" w:hAnsi="Helvetica Neue"/>
                <w:b/>
                <w:color w:val="0E3A66"/>
                <w:sz w:val="17"/>
              </w:rPr>
              <w:t>Licence en date du 21 septembre 2017</w:t>
            </w:r>
          </w:p>
        </w:tc>
      </w:tr>
      <w:tr>
        <w:trPr>
          <w:cantSplit/>
        </w:trPr>
        <w:tc>
          <w:tcPr>
            <w:tcW w:type="dxa" w:w="3742"/>
            <w:shd w:val="clear" w:color="auto" w:fill="F3F7FC"/>
            <w:tcBorders>
              <w:top w:val="nil"/>
              <w:left w:val="nil"/>
              <w:bottom w:val="single" w:sz="4" w:color="E4EAF1"/>
              <w:right w:val="nil"/>
            </w:tcBorders>
            <w:tcMar>
              <w:top w:w="80" w:type="dxa"/>
              <w:bottom w:w="80" w:type="dxa"/>
              <w:start w:w="110" w:type="dxa"/>
              <w:end w:w="110" w:type="dxa"/>
            </w:tcMar>
            <w:vAlign w:val="top"/>
          </w:tcPr>
          <w:p>
            <w:pPr>
              <w:spacing w:after="0" w:before="0" w:line="252" w:lineRule="auto"/>
            </w:pPr>
            <w:r>
              <w:rPr>
                <w:rFonts w:ascii="Poppins" w:hAnsi="Poppins"/>
                <w:b/>
                <w:color w:val="0E3A66"/>
                <w:sz w:val="18"/>
              </w:rPr>
              <w:t>Délégation du service public de l’eau dans 14 localités du Guidimagha</w:t>
            </w:r>
          </w:p>
        </w:tc>
        <w:tc>
          <w:tcPr>
            <w:tcW w:type="dxa" w:w="2381"/>
            <w:shd w:val="clear" w:color="auto" w:fill="F3F7FC"/>
            <w:tcBorders>
              <w:top w:val="nil"/>
              <w:left w:val="nil"/>
              <w:bottom w:val="single" w:sz="4" w:color="E4EAF1"/>
              <w:right w:val="nil"/>
            </w:tcBorders>
            <w:tcMar>
              <w:top w:w="80" w:type="dxa"/>
              <w:bottom w:w="80" w:type="dxa"/>
              <w:start w:w="110" w:type="dxa"/>
              <w:end w:w="110" w:type="dxa"/>
            </w:tcMar>
            <w:vAlign w:val="top"/>
          </w:tcPr>
          <w:p>
            <w:pPr>
              <w:spacing w:after="0" w:before="0" w:line="252" w:lineRule="auto"/>
            </w:pPr>
            <w:r>
              <w:rPr>
                <w:rFonts w:ascii="Helvetica Neue" w:hAnsi="Helvetica Neue"/>
                <w:b w:val="0"/>
                <w:color w:val="13202F"/>
                <w:sz w:val="17"/>
              </w:rPr>
              <w:t>Commune de Gouraye</w:t>
            </w:r>
          </w:p>
          <w:p>
            <w:pPr>
              <w:spacing w:after="0" w:before="0" w:line="252" w:lineRule="auto"/>
            </w:pPr>
            <w:r>
              <w:rPr>
                <w:rFonts w:ascii="Helvetica Neue" w:hAnsi="Helvetica Neue"/>
                <w:b w:val="0"/>
                <w:color w:val="13202F"/>
                <w:sz w:val="17"/>
              </w:rPr>
              <w:t>Commune Ould yengé</w:t>
            </w:r>
          </w:p>
          <w:p>
            <w:pPr>
              <w:spacing w:after="0" w:before="0" w:line="252" w:lineRule="auto"/>
            </w:pPr>
            <w:r>
              <w:rPr>
                <w:rFonts w:ascii="Helvetica Neue" w:hAnsi="Helvetica Neue"/>
                <w:b w:val="0"/>
                <w:color w:val="13202F"/>
                <w:sz w:val="17"/>
              </w:rPr>
              <w:t>Commune de Soufi</w:t>
            </w:r>
          </w:p>
          <w:p>
            <w:pPr>
              <w:spacing w:after="0" w:before="0" w:line="252" w:lineRule="auto"/>
            </w:pPr>
            <w:r>
              <w:rPr>
                <w:rFonts w:ascii="Helvetica Neue" w:hAnsi="Helvetica Neue"/>
                <w:b w:val="0"/>
                <w:color w:val="13202F"/>
                <w:sz w:val="17"/>
              </w:rPr>
              <w:t>Commune de Khabou</w:t>
            </w:r>
          </w:p>
        </w:tc>
        <w:tc>
          <w:tcPr>
            <w:tcW w:type="dxa" w:w="2381"/>
            <w:shd w:val="clear" w:color="auto" w:fill="F3F7FC"/>
            <w:tcBorders>
              <w:top w:val="nil"/>
              <w:left w:val="nil"/>
              <w:bottom w:val="single" w:sz="4" w:color="E4EAF1"/>
              <w:right w:val="nil"/>
            </w:tcBorders>
            <w:tcMar>
              <w:top w:w="80" w:type="dxa"/>
              <w:bottom w:w="80" w:type="dxa"/>
              <w:start w:w="110" w:type="dxa"/>
              <w:end w:w="110" w:type="dxa"/>
            </w:tcMar>
            <w:vAlign w:val="top"/>
          </w:tcPr>
          <w:p>
            <w:pPr>
              <w:spacing w:after="0" w:before="0" w:line="252" w:lineRule="auto"/>
            </w:pPr>
            <w:r>
              <w:rPr>
                <w:rFonts w:ascii="Helvetica Neue" w:hAnsi="Helvetica Neue"/>
                <w:b/>
                <w:color w:val="1B5A97"/>
                <w:sz w:val="17"/>
              </w:rPr>
              <w:t>Arrêté N°001/2014 et Cahier de charges</w:t>
            </w:r>
          </w:p>
        </w:tc>
        <w:tc>
          <w:tcPr>
            <w:tcW w:type="dxa" w:w="3628"/>
            <w:shd w:val="clear" w:color="auto" w:fill="F3F7FC"/>
            <w:tcBorders>
              <w:top w:val="nil"/>
              <w:left w:val="nil"/>
              <w:bottom w:val="single" w:sz="4" w:color="E4EAF1"/>
              <w:right w:val="nil"/>
            </w:tcBorders>
            <w:tcMar>
              <w:top w:w="80" w:type="dxa"/>
              <w:bottom w:w="80" w:type="dxa"/>
              <w:start w:w="110" w:type="dxa"/>
              <w:end w:w="110" w:type="dxa"/>
            </w:tcMar>
            <w:vAlign w:val="top"/>
          </w:tcPr>
          <w:p>
            <w:pPr>
              <w:spacing w:after="0" w:before="0" w:line="252" w:lineRule="auto"/>
            </w:pPr>
            <w:r>
              <w:rPr>
                <w:rFonts w:ascii="Helvetica Neue" w:hAnsi="Helvetica Neue"/>
                <w:b w:val="0"/>
                <w:color w:val="13202F"/>
                <w:sz w:val="17"/>
              </w:rPr>
              <w:t>Assurer la gestion, l’exploitation, l’entretien, la maintenance du SPE en se rémunérant sur les recettes perçues sur les usagers</w:t>
            </w:r>
          </w:p>
        </w:tc>
        <w:tc>
          <w:tcPr>
            <w:tcW w:type="dxa" w:w="3061"/>
            <w:shd w:val="clear" w:color="auto" w:fill="F3F7FC"/>
            <w:tcBorders>
              <w:top w:val="nil"/>
              <w:left w:val="nil"/>
              <w:bottom w:val="single" w:sz="4" w:color="E4EAF1"/>
              <w:right w:val="nil"/>
            </w:tcBorders>
            <w:tcMar>
              <w:top w:w="80" w:type="dxa"/>
              <w:bottom w:w="80" w:type="dxa"/>
              <w:start w:w="110" w:type="dxa"/>
              <w:end w:w="11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Helvetica Neue" w:hAnsi="Helvetica Neue"/>
                <w:b/>
                <w:color w:val="0E3A66"/>
                <w:sz w:val="17"/>
              </w:rPr>
              <w:t>Licence en date du 01 octobre 2014</w:t>
            </w:r>
          </w:p>
          <w:p>
            <w:pPr>
              <w:spacing w:after="0" w:line="252" w:lineRule="auto"/>
            </w:pPr>
            <w:r>
              <w:rPr>
                <w:rFonts w:ascii="Helvetica Neue" w:hAnsi="Helvetica Neue"/>
                <w:b w:val="0"/>
                <w:color w:val="64748B"/>
                <w:sz w:val="17"/>
              </w:rPr>
              <w:t>Cinq ans renouvelables une fois</w:t>
            </w:r>
          </w:p>
        </w:tc>
      </w:tr>
      <w:tr>
        <w:trPr>
          <w:cantSplit/>
        </w:trPr>
        <w:tc>
          <w:tcPr>
            <w:tcW w:type="dxa" w:w="3742"/>
            <w:shd w:val="clear" w:color="auto" w:fill="FFFFFF"/>
            <w:tcBorders>
              <w:top w:val="nil"/>
              <w:left w:val="nil"/>
              <w:bottom w:val="single" w:sz="4" w:color="E4EAF1"/>
              <w:right w:val="nil"/>
            </w:tcBorders>
            <w:tcMar>
              <w:top w:w="80" w:type="dxa"/>
              <w:bottom w:w="80" w:type="dxa"/>
              <w:start w:w="110" w:type="dxa"/>
              <w:end w:w="110" w:type="dxa"/>
            </w:tcMar>
            <w:vAlign w:val="top"/>
          </w:tcPr>
          <w:p>
            <w:pPr>
              <w:spacing w:after="0" w:before="0" w:line="252" w:lineRule="auto"/>
            </w:pPr>
            <w:r>
              <w:rPr>
                <w:rFonts w:ascii="Poppins" w:hAnsi="Poppins"/>
                <w:b/>
                <w:color w:val="0E3A66"/>
                <w:sz w:val="18"/>
              </w:rPr>
              <w:t>Délégation du service public d’eau à Chigara</w:t>
            </w:r>
          </w:p>
        </w:tc>
        <w:tc>
          <w:tcPr>
            <w:tcW w:type="dxa" w:w="2381"/>
            <w:shd w:val="clear" w:color="auto" w:fill="FFFFFF"/>
            <w:tcBorders>
              <w:top w:val="nil"/>
              <w:left w:val="nil"/>
              <w:bottom w:val="single" w:sz="4" w:color="E4EAF1"/>
              <w:right w:val="nil"/>
            </w:tcBorders>
            <w:tcMar>
              <w:top w:w="80" w:type="dxa"/>
              <w:bottom w:w="80" w:type="dxa"/>
              <w:start w:w="110" w:type="dxa"/>
              <w:end w:w="110" w:type="dxa"/>
            </w:tcMar>
            <w:vAlign w:val="top"/>
          </w:tcPr>
          <w:p>
            <w:pPr>
              <w:spacing w:after="0" w:before="0" w:line="252" w:lineRule="auto"/>
            </w:pPr>
            <w:r>
              <w:rPr>
                <w:rFonts w:ascii="Helvetica Neue" w:hAnsi="Helvetica Neue"/>
                <w:b w:val="0"/>
                <w:color w:val="13202F"/>
                <w:sz w:val="17"/>
              </w:rPr>
              <w:t>Commune de Rosso</w:t>
            </w:r>
          </w:p>
        </w:tc>
        <w:tc>
          <w:tcPr>
            <w:tcW w:type="dxa" w:w="2381"/>
            <w:shd w:val="clear" w:color="auto" w:fill="FFFFFF"/>
            <w:tcBorders>
              <w:top w:val="nil"/>
              <w:left w:val="nil"/>
              <w:bottom w:val="single" w:sz="4" w:color="E4EAF1"/>
              <w:right w:val="nil"/>
            </w:tcBorders>
            <w:tcMar>
              <w:top w:w="80" w:type="dxa"/>
              <w:bottom w:w="80" w:type="dxa"/>
              <w:start w:w="110" w:type="dxa"/>
              <w:end w:w="110" w:type="dxa"/>
            </w:tcMar>
            <w:vAlign w:val="top"/>
          </w:tcPr>
          <w:p>
            <w:pPr>
              <w:spacing w:after="0" w:before="0" w:line="252" w:lineRule="auto"/>
            </w:pPr>
            <w:r>
              <w:rPr>
                <w:rFonts w:ascii="Helvetica Neue" w:hAnsi="Helvetica Neue"/>
                <w:b/>
                <w:color w:val="1B5A97"/>
                <w:sz w:val="17"/>
              </w:rPr>
              <w:t>Arrêté N°34/2014 et Cahier de charges</w:t>
            </w:r>
          </w:p>
        </w:tc>
        <w:tc>
          <w:tcPr>
            <w:tcW w:type="dxa" w:w="3628"/>
            <w:shd w:val="clear" w:color="auto" w:fill="FFFFFF"/>
            <w:tcBorders>
              <w:top w:val="nil"/>
              <w:left w:val="nil"/>
              <w:bottom w:val="single" w:sz="4" w:color="E4EAF1"/>
              <w:right w:val="nil"/>
            </w:tcBorders>
            <w:tcMar>
              <w:top w:w="80" w:type="dxa"/>
              <w:bottom w:w="80" w:type="dxa"/>
              <w:start w:w="110" w:type="dxa"/>
              <w:end w:w="110" w:type="dxa"/>
            </w:tcMar>
            <w:vAlign w:val="top"/>
          </w:tcPr>
          <w:p>
            <w:pPr>
              <w:spacing w:after="0" w:before="0" w:line="252" w:lineRule="auto"/>
            </w:pPr>
            <w:r>
              <w:rPr>
                <w:rFonts w:ascii="Helvetica Neue" w:hAnsi="Helvetica Neue"/>
                <w:b w:val="0"/>
                <w:color w:val="13202F"/>
                <w:sz w:val="17"/>
              </w:rPr>
              <w:t>Assurer la gestion, l’exploitation, l’entretien, la maintenance du SPE en se rémunérant sur les recettes perçues sur les usagers</w:t>
            </w:r>
          </w:p>
        </w:tc>
        <w:tc>
          <w:tcPr>
            <w:tcW w:type="dxa" w:w="3061"/>
            <w:shd w:val="clear" w:color="auto" w:fill="FFFFFF"/>
            <w:tcBorders>
              <w:top w:val="nil"/>
              <w:left w:val="nil"/>
              <w:bottom w:val="single" w:sz="4" w:color="E4EAF1"/>
              <w:right w:val="nil"/>
            </w:tcBorders>
            <w:tcMar>
              <w:top w:w="80" w:type="dxa"/>
              <w:bottom w:w="80" w:type="dxa"/>
              <w:start w:w="110" w:type="dxa"/>
              <w:end w:w="11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Helvetica Neue" w:hAnsi="Helvetica Neue"/>
                <w:b/>
                <w:color w:val="0E3A66"/>
                <w:sz w:val="17"/>
              </w:rPr>
              <w:t>Licence en date du 31 juillet 2014</w:t>
            </w:r>
          </w:p>
          <w:p>
            <w:pPr>
              <w:spacing w:after="0" w:line="252" w:lineRule="auto"/>
            </w:pPr>
            <w:r>
              <w:rPr>
                <w:rFonts w:ascii="Helvetica Neue" w:hAnsi="Helvetica Neue"/>
                <w:b w:val="0"/>
                <w:color w:val="64748B"/>
                <w:sz w:val="17"/>
              </w:rPr>
              <w:t>Cinq ans renouvelables une fois</w:t>
            </w:r>
          </w:p>
        </w:tc>
      </w:tr>
      <w:tr>
        <w:trPr>
          <w:cantSplit/>
        </w:trPr>
        <w:tc>
          <w:tcPr>
            <w:tcW w:type="dxa" w:w="3742"/>
            <w:shd w:val="clear" w:color="auto" w:fill="F3F7FC"/>
            <w:tcBorders>
              <w:top w:val="nil"/>
              <w:left w:val="nil"/>
              <w:bottom w:val="single" w:sz="4" w:color="E4EAF1"/>
              <w:right w:val="nil"/>
            </w:tcBorders>
            <w:tcMar>
              <w:top w:w="80" w:type="dxa"/>
              <w:bottom w:w="80" w:type="dxa"/>
              <w:start w:w="110" w:type="dxa"/>
              <w:end w:w="110" w:type="dxa"/>
            </w:tcMar>
            <w:vAlign w:val="top"/>
          </w:tcPr>
          <w:p>
            <w:pPr>
              <w:spacing w:after="0" w:before="0" w:line="252" w:lineRule="auto"/>
            </w:pPr>
            <w:r>
              <w:rPr>
                <w:rFonts w:ascii="Poppins" w:hAnsi="Poppins"/>
                <w:b/>
                <w:color w:val="0E3A66"/>
                <w:sz w:val="18"/>
              </w:rPr>
              <w:t>Licence pour la gestion du service public d’eau de Breun- Dieuk-Tekeche</w:t>
            </w:r>
          </w:p>
        </w:tc>
        <w:tc>
          <w:tcPr>
            <w:tcW w:type="dxa" w:w="2381"/>
            <w:shd w:val="clear" w:color="auto" w:fill="F3F7FC"/>
            <w:tcBorders>
              <w:top w:val="nil"/>
              <w:left w:val="nil"/>
              <w:bottom w:val="single" w:sz="4" w:color="E4EAF1"/>
              <w:right w:val="nil"/>
            </w:tcBorders>
            <w:tcMar>
              <w:top w:w="80" w:type="dxa"/>
              <w:bottom w:w="80" w:type="dxa"/>
              <w:start w:w="110" w:type="dxa"/>
              <w:end w:w="110" w:type="dxa"/>
            </w:tcMar>
            <w:vAlign w:val="top"/>
          </w:tcPr>
          <w:p>
            <w:pPr>
              <w:spacing w:after="0" w:before="0" w:line="252" w:lineRule="auto"/>
            </w:pPr>
            <w:r>
              <w:rPr>
                <w:rFonts w:ascii="Helvetica Neue" w:hAnsi="Helvetica Neue"/>
                <w:b w:val="0"/>
                <w:color w:val="13202F"/>
                <w:sz w:val="17"/>
              </w:rPr>
              <w:t>Commune de Rosso</w:t>
            </w:r>
          </w:p>
        </w:tc>
        <w:tc>
          <w:tcPr>
            <w:tcW w:type="dxa" w:w="2381"/>
            <w:shd w:val="clear" w:color="auto" w:fill="F3F7FC"/>
            <w:tcBorders>
              <w:top w:val="nil"/>
              <w:left w:val="nil"/>
              <w:bottom w:val="single" w:sz="4" w:color="E4EAF1"/>
              <w:right w:val="nil"/>
            </w:tcBorders>
            <w:tcMar>
              <w:top w:w="80" w:type="dxa"/>
              <w:bottom w:w="80" w:type="dxa"/>
              <w:start w:w="110" w:type="dxa"/>
              <w:end w:w="110" w:type="dxa"/>
            </w:tcMar>
            <w:vAlign w:val="top"/>
          </w:tcPr>
          <w:p>
            <w:pPr>
              <w:spacing w:after="0" w:before="0" w:line="252" w:lineRule="auto"/>
            </w:pPr>
            <w:r>
              <w:rPr>
                <w:rFonts w:ascii="Helvetica Neue" w:hAnsi="Helvetica Neue"/>
                <w:b/>
                <w:color w:val="1B5A97"/>
                <w:sz w:val="17"/>
              </w:rPr>
              <w:t>Arrêté N°02/CR/2010 et Cahier de charges</w:t>
            </w:r>
          </w:p>
        </w:tc>
        <w:tc>
          <w:tcPr>
            <w:tcW w:type="dxa" w:w="3628"/>
            <w:shd w:val="clear" w:color="auto" w:fill="F3F7FC"/>
            <w:tcBorders>
              <w:top w:val="nil"/>
              <w:left w:val="nil"/>
              <w:bottom w:val="single" w:sz="4" w:color="E4EAF1"/>
              <w:right w:val="nil"/>
            </w:tcBorders>
            <w:tcMar>
              <w:top w:w="80" w:type="dxa"/>
              <w:bottom w:w="80" w:type="dxa"/>
              <w:start w:w="110" w:type="dxa"/>
              <w:end w:w="110" w:type="dxa"/>
            </w:tcMar>
            <w:vAlign w:val="top"/>
          </w:tcPr>
          <w:p>
            <w:pPr>
              <w:spacing w:after="0" w:before="0" w:line="252" w:lineRule="auto"/>
            </w:pPr>
            <w:r>
              <w:rPr>
                <w:rFonts w:ascii="Helvetica Neue" w:hAnsi="Helvetica Neue"/>
                <w:b w:val="0"/>
                <w:color w:val="13202F"/>
                <w:sz w:val="17"/>
              </w:rPr>
              <w:t>Assurer la gestion, l’exploitation, l’entretien, la maintenance du SPE en se rémunérant sur les recettes perçues sur les usagers</w:t>
            </w:r>
          </w:p>
        </w:tc>
        <w:tc>
          <w:tcPr>
            <w:tcW w:type="dxa" w:w="3061"/>
            <w:shd w:val="clear" w:color="auto" w:fill="F3F7FC"/>
            <w:tcBorders>
              <w:top w:val="nil"/>
              <w:left w:val="nil"/>
              <w:bottom w:val="single" w:sz="4" w:color="E4EAF1"/>
              <w:right w:val="nil"/>
            </w:tcBorders>
            <w:tcMar>
              <w:top w:w="80" w:type="dxa"/>
              <w:bottom w:w="80" w:type="dxa"/>
              <w:start w:w="110" w:type="dxa"/>
              <w:end w:w="11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Helvetica Neue" w:hAnsi="Helvetica Neue"/>
                <w:b/>
                <w:color w:val="0E3A66"/>
                <w:sz w:val="17"/>
              </w:rPr>
              <w:t>Licence en date du 29 juin 2010</w:t>
            </w:r>
          </w:p>
          <w:p>
            <w:pPr>
              <w:spacing w:after="0" w:line="252" w:lineRule="auto"/>
            </w:pPr>
            <w:r>
              <w:rPr>
                <w:rFonts w:ascii="Helvetica Neue" w:hAnsi="Helvetica Neue"/>
                <w:b w:val="0"/>
                <w:color w:val="64748B"/>
                <w:sz w:val="17"/>
              </w:rPr>
              <w:t>Cinq ans renouvelables une fois</w:t>
            </w:r>
          </w:p>
        </w:tc>
      </w:tr>
      <w:tr>
        <w:trPr>
          <w:cantSplit/>
        </w:trPr>
        <w:tc>
          <w:tcPr>
            <w:tcW w:type="dxa" w:w="3742"/>
            <w:shd w:val="clear" w:color="auto" w:fill="FFFFFF"/>
            <w:tcBorders>
              <w:top w:val="nil"/>
              <w:left w:val="nil"/>
              <w:bottom w:val="single" w:sz="4" w:color="E4EAF1"/>
              <w:right w:val="nil"/>
            </w:tcBorders>
            <w:tcMar>
              <w:top w:w="80" w:type="dxa"/>
              <w:bottom w:w="80" w:type="dxa"/>
              <w:start w:w="110" w:type="dxa"/>
              <w:end w:w="110" w:type="dxa"/>
            </w:tcMar>
            <w:vAlign w:val="top"/>
          </w:tcPr>
          <w:p>
            <w:pPr>
              <w:spacing w:after="0" w:before="0" w:line="252" w:lineRule="auto"/>
            </w:pPr>
            <w:r>
              <w:rPr>
                <w:rFonts w:ascii="Poppins" w:hAnsi="Poppins"/>
                <w:b/>
                <w:color w:val="0E3A66"/>
                <w:sz w:val="18"/>
              </w:rPr>
              <w:t>Délégation de gestion de Service public de l’eau potable dans 11 localités de la Commune de Boghé — Programme PIR BRAKNA</w:t>
            </w:r>
          </w:p>
        </w:tc>
        <w:tc>
          <w:tcPr>
            <w:tcW w:type="dxa" w:w="2381"/>
            <w:shd w:val="clear" w:color="auto" w:fill="FFFFFF"/>
            <w:tcBorders>
              <w:top w:val="nil"/>
              <w:left w:val="nil"/>
              <w:bottom w:val="single" w:sz="4" w:color="E4EAF1"/>
              <w:right w:val="nil"/>
            </w:tcBorders>
            <w:tcMar>
              <w:top w:w="80" w:type="dxa"/>
              <w:bottom w:w="80" w:type="dxa"/>
              <w:start w:w="110" w:type="dxa"/>
              <w:end w:w="110" w:type="dxa"/>
            </w:tcMar>
            <w:vAlign w:val="top"/>
          </w:tcPr>
          <w:p>
            <w:pPr>
              <w:spacing w:after="0" w:before="0" w:line="252" w:lineRule="auto"/>
            </w:pPr>
            <w:r>
              <w:rPr>
                <w:rFonts w:ascii="Helvetica Neue" w:hAnsi="Helvetica Neue"/>
                <w:b w:val="0"/>
                <w:color w:val="13202F"/>
                <w:sz w:val="17"/>
              </w:rPr>
              <w:t>Commune de Boghé</w:t>
            </w:r>
          </w:p>
        </w:tc>
        <w:tc>
          <w:tcPr>
            <w:tcW w:type="dxa" w:w="2381"/>
            <w:shd w:val="clear" w:color="auto" w:fill="FFFFFF"/>
            <w:tcBorders>
              <w:top w:val="nil"/>
              <w:left w:val="nil"/>
              <w:bottom w:val="single" w:sz="4" w:color="E4EAF1"/>
              <w:right w:val="nil"/>
            </w:tcBorders>
            <w:tcMar>
              <w:top w:w="80" w:type="dxa"/>
              <w:bottom w:w="80" w:type="dxa"/>
              <w:start w:w="110" w:type="dxa"/>
              <w:end w:w="110" w:type="dxa"/>
            </w:tcMar>
            <w:vAlign w:val="top"/>
          </w:tcPr>
          <w:p>
            <w:pPr>
              <w:spacing w:after="0" w:before="0" w:line="252" w:lineRule="auto"/>
            </w:pPr>
            <w:r>
              <w:rPr>
                <w:rFonts w:ascii="Helvetica Neue" w:hAnsi="Helvetica Neue"/>
                <w:b/>
                <w:color w:val="1B5A97"/>
                <w:sz w:val="17"/>
              </w:rPr>
              <w:t>Arrêté N° 111/2009 et Cahier de charges</w:t>
            </w:r>
          </w:p>
        </w:tc>
        <w:tc>
          <w:tcPr>
            <w:tcW w:type="dxa" w:w="3628"/>
            <w:shd w:val="clear" w:color="auto" w:fill="FFFFFF"/>
            <w:tcBorders>
              <w:top w:val="nil"/>
              <w:left w:val="nil"/>
              <w:bottom w:val="single" w:sz="4" w:color="E4EAF1"/>
              <w:right w:val="nil"/>
            </w:tcBorders>
            <w:tcMar>
              <w:top w:w="80" w:type="dxa"/>
              <w:bottom w:w="80" w:type="dxa"/>
              <w:start w:w="110" w:type="dxa"/>
              <w:end w:w="110" w:type="dxa"/>
            </w:tcMar>
            <w:vAlign w:val="top"/>
          </w:tcPr>
          <w:p>
            <w:pPr>
              <w:spacing w:after="0" w:before="0" w:line="252" w:lineRule="auto"/>
            </w:pPr>
            <w:r>
              <w:rPr>
                <w:rFonts w:ascii="Helvetica Neue" w:hAnsi="Helvetica Neue"/>
                <w:b w:val="0"/>
                <w:color w:val="13202F"/>
                <w:sz w:val="17"/>
              </w:rPr>
              <w:t>Assurer la gestion, l’exploitation, l’entretien, la maintenance du SPE en se rémunérant sur les recettes perçues sur les usagers</w:t>
            </w:r>
          </w:p>
        </w:tc>
        <w:tc>
          <w:tcPr>
            <w:tcW w:type="dxa" w:w="3061"/>
            <w:shd w:val="clear" w:color="auto" w:fill="FFFFFF"/>
            <w:tcBorders>
              <w:top w:val="nil"/>
              <w:left w:val="nil"/>
              <w:bottom w:val="single" w:sz="4" w:color="E4EAF1"/>
              <w:right w:val="nil"/>
            </w:tcBorders>
            <w:tcMar>
              <w:top w:w="80" w:type="dxa"/>
              <w:bottom w:w="80" w:type="dxa"/>
              <w:start w:w="110" w:type="dxa"/>
              <w:end w:w="11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Helvetica Neue" w:hAnsi="Helvetica Neue"/>
                <w:b/>
                <w:color w:val="0E3A66"/>
                <w:sz w:val="17"/>
              </w:rPr>
              <w:t>Licence en date du 16 juin 2009</w:t>
            </w:r>
          </w:p>
          <w:p>
            <w:pPr>
              <w:spacing w:after="0" w:line="252" w:lineRule="auto"/>
            </w:pPr>
            <w:r>
              <w:rPr>
                <w:rFonts w:ascii="Helvetica Neue" w:hAnsi="Helvetica Neue"/>
                <w:b w:val="0"/>
                <w:color w:val="64748B"/>
                <w:sz w:val="17"/>
              </w:rPr>
              <w:t>Cinq ans renouvelables une fois</w:t>
            </w:r>
          </w:p>
        </w:tc>
      </w:tr>
      <w:tr>
        <w:trPr>
          <w:cantSplit/>
        </w:trPr>
        <w:tc>
          <w:tcPr>
            <w:tcW w:type="dxa" w:w="3742"/>
            <w:shd w:val="clear" w:color="auto" w:fill="F3F7FC"/>
            <w:tcBorders>
              <w:top w:val="nil"/>
              <w:left w:val="nil"/>
              <w:bottom w:val="single" w:sz="4" w:color="E4EAF1"/>
              <w:right w:val="nil"/>
            </w:tcBorders>
            <w:tcMar>
              <w:top w:w="80" w:type="dxa"/>
              <w:bottom w:w="80" w:type="dxa"/>
              <w:start w:w="110" w:type="dxa"/>
              <w:end w:w="110" w:type="dxa"/>
            </w:tcMar>
            <w:vAlign w:val="top"/>
          </w:tcPr>
          <w:p>
            <w:pPr>
              <w:spacing w:after="0" w:before="0" w:line="252" w:lineRule="auto"/>
            </w:pPr>
            <w:r>
              <w:rPr>
                <w:rFonts w:ascii="Poppins" w:hAnsi="Poppins"/>
                <w:b/>
                <w:color w:val="0E3A66"/>
                <w:sz w:val="18"/>
              </w:rPr>
              <w:t>Délégation de gestion de l’eau dans 5 centres du Gorgol et Guidimakha</w:t>
            </w:r>
          </w:p>
        </w:tc>
        <w:tc>
          <w:tcPr>
            <w:tcW w:type="dxa" w:w="2381"/>
            <w:shd w:val="clear" w:color="auto" w:fill="F3F7FC"/>
            <w:tcBorders>
              <w:top w:val="nil"/>
              <w:left w:val="nil"/>
              <w:bottom w:val="single" w:sz="4" w:color="E4EAF1"/>
              <w:right w:val="nil"/>
            </w:tcBorders>
            <w:tcMar>
              <w:top w:w="80" w:type="dxa"/>
              <w:bottom w:w="80" w:type="dxa"/>
              <w:start w:w="110" w:type="dxa"/>
              <w:end w:w="110" w:type="dxa"/>
            </w:tcMar>
            <w:vAlign w:val="top"/>
          </w:tcPr>
          <w:p>
            <w:pPr>
              <w:spacing w:after="0" w:before="0" w:line="252" w:lineRule="auto"/>
            </w:pPr>
            <w:r>
              <w:rPr>
                <w:rFonts w:ascii="Helvetica Neue" w:hAnsi="Helvetica Neue"/>
                <w:b w:val="0"/>
                <w:color w:val="13202F"/>
                <w:sz w:val="17"/>
              </w:rPr>
              <w:t>Ministère de l’Hydraulique et l’Assainissement</w:t>
            </w:r>
          </w:p>
        </w:tc>
        <w:tc>
          <w:tcPr>
            <w:tcW w:type="dxa" w:w="2381"/>
            <w:shd w:val="clear" w:color="auto" w:fill="F3F7FC"/>
            <w:tcBorders>
              <w:top w:val="nil"/>
              <w:left w:val="nil"/>
              <w:bottom w:val="single" w:sz="4" w:color="E4EAF1"/>
              <w:right w:val="nil"/>
            </w:tcBorders>
            <w:tcMar>
              <w:top w:w="80" w:type="dxa"/>
              <w:bottom w:w="80" w:type="dxa"/>
              <w:start w:w="110" w:type="dxa"/>
              <w:end w:w="110" w:type="dxa"/>
            </w:tcMar>
            <w:vAlign w:val="top"/>
          </w:tcPr>
          <w:p>
            <w:pPr>
              <w:spacing w:after="0" w:before="0" w:line="252" w:lineRule="auto"/>
            </w:pPr>
            <w:r>
              <w:rPr>
                <w:rFonts w:ascii="Helvetica Neue" w:hAnsi="Helvetica Neue"/>
                <w:b/>
                <w:color w:val="1B5A97"/>
                <w:sz w:val="17"/>
              </w:rPr>
              <w:t>Arrêté N° 3525/MHA et cahier de charges</w:t>
            </w:r>
          </w:p>
        </w:tc>
        <w:tc>
          <w:tcPr>
            <w:tcW w:type="dxa" w:w="3628"/>
            <w:shd w:val="clear" w:color="auto" w:fill="F3F7FC"/>
            <w:tcBorders>
              <w:top w:val="nil"/>
              <w:left w:val="nil"/>
              <w:bottom w:val="single" w:sz="4" w:color="E4EAF1"/>
              <w:right w:val="nil"/>
            </w:tcBorders>
            <w:tcMar>
              <w:top w:w="80" w:type="dxa"/>
              <w:bottom w:w="80" w:type="dxa"/>
              <w:start w:w="110" w:type="dxa"/>
              <w:end w:w="110" w:type="dxa"/>
            </w:tcMar>
            <w:vAlign w:val="top"/>
          </w:tcPr>
          <w:p>
            <w:pPr>
              <w:spacing w:after="0" w:before="0" w:line="252" w:lineRule="auto"/>
            </w:pPr>
            <w:r>
              <w:rPr>
                <w:rFonts w:ascii="Helvetica Neue" w:hAnsi="Helvetica Neue"/>
                <w:b w:val="0"/>
                <w:color w:val="13202F"/>
                <w:sz w:val="17"/>
              </w:rPr>
              <w:t>Assurer la gestion, l’exploitation, l’entretien, la maintenance du SPE en se rémunérant sur les recettes perçues sur les usagers</w:t>
            </w:r>
          </w:p>
        </w:tc>
        <w:tc>
          <w:tcPr>
            <w:tcW w:type="dxa" w:w="3061"/>
            <w:shd w:val="clear" w:color="auto" w:fill="F3F7FC"/>
            <w:tcBorders>
              <w:top w:val="nil"/>
              <w:left w:val="nil"/>
              <w:bottom w:val="single" w:sz="4" w:color="E4EAF1"/>
              <w:right w:val="nil"/>
            </w:tcBorders>
            <w:tcMar>
              <w:top w:w="80" w:type="dxa"/>
              <w:bottom w:w="80" w:type="dxa"/>
              <w:start w:w="110" w:type="dxa"/>
              <w:end w:w="11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Helvetica Neue" w:hAnsi="Helvetica Neue"/>
                <w:b/>
                <w:color w:val="0E3A66"/>
                <w:sz w:val="17"/>
              </w:rPr>
              <w:t>Licence en date du 30 octobre 2008</w:t>
            </w:r>
          </w:p>
          <w:p>
            <w:pPr>
              <w:spacing w:after="0" w:line="252" w:lineRule="auto"/>
            </w:pPr>
            <w:r>
              <w:rPr>
                <w:rFonts w:ascii="Helvetica Neue" w:hAnsi="Helvetica Neue"/>
                <w:b w:val="0"/>
                <w:color w:val="64748B"/>
                <w:sz w:val="17"/>
              </w:rPr>
              <w:t>La DSP est conclue pour une durée de cinq ans renouvelable une fois à condition que le délégataire donne satisfaction dans le cadre de la mission qui lui a été confiée</w:t>
            </w:r>
          </w:p>
        </w:tc>
      </w:tr>
      <w:tr>
        <w:trPr>
          <w:cantSplit/>
        </w:trPr>
        <w:tc>
          <w:tcPr>
            <w:tcW w:type="dxa" w:w="3742"/>
            <w:shd w:val="clear" w:color="auto" w:fill="FFFFFF"/>
            <w:tcBorders>
              <w:top w:val="nil"/>
              <w:left w:val="nil"/>
              <w:bottom w:val="single" w:sz="4" w:color="E4EAF1"/>
              <w:right w:val="nil"/>
            </w:tcBorders>
            <w:tcMar>
              <w:top w:w="80" w:type="dxa"/>
              <w:bottom w:w="80" w:type="dxa"/>
              <w:start w:w="110" w:type="dxa"/>
              <w:end w:w="110" w:type="dxa"/>
            </w:tcMar>
            <w:vAlign w:val="top"/>
          </w:tcPr>
          <w:p>
            <w:pPr>
              <w:spacing w:after="0" w:before="0" w:line="252" w:lineRule="auto"/>
            </w:pPr>
            <w:r>
              <w:rPr>
                <w:rFonts w:ascii="Poppins" w:hAnsi="Poppins"/>
                <w:b/>
                <w:color w:val="0E3A66"/>
                <w:sz w:val="18"/>
              </w:rPr>
              <w:t>Licence pour la délégation du service Public d’électricité dans la Ville de Keur mécène</w:t>
            </w:r>
          </w:p>
        </w:tc>
        <w:tc>
          <w:tcPr>
            <w:tcW w:type="dxa" w:w="2381"/>
            <w:shd w:val="clear" w:color="auto" w:fill="FFFFFF"/>
            <w:tcBorders>
              <w:top w:val="nil"/>
              <w:left w:val="nil"/>
              <w:bottom w:val="single" w:sz="4" w:color="E4EAF1"/>
              <w:right w:val="nil"/>
            </w:tcBorders>
            <w:tcMar>
              <w:top w:w="80" w:type="dxa"/>
              <w:bottom w:w="80" w:type="dxa"/>
              <w:start w:w="110" w:type="dxa"/>
              <w:end w:w="110" w:type="dxa"/>
            </w:tcMar>
            <w:vAlign w:val="top"/>
          </w:tcPr>
          <w:p>
            <w:pPr>
              <w:spacing w:after="0" w:before="0" w:line="252" w:lineRule="auto"/>
            </w:pPr>
            <w:r>
              <w:rPr>
                <w:rFonts w:ascii="Helvetica Neue" w:hAnsi="Helvetica Neue"/>
                <w:b w:val="0"/>
                <w:color w:val="13202F"/>
                <w:sz w:val="17"/>
              </w:rPr>
              <w:t>Ministère de pétrole, d’énergie et des Mines</w:t>
            </w:r>
          </w:p>
        </w:tc>
        <w:tc>
          <w:tcPr>
            <w:tcW w:type="dxa" w:w="2381"/>
            <w:shd w:val="clear" w:color="auto" w:fill="FFFFFF"/>
            <w:tcBorders>
              <w:top w:val="nil"/>
              <w:left w:val="nil"/>
              <w:bottom w:val="single" w:sz="4" w:color="E4EAF1"/>
              <w:right w:val="nil"/>
            </w:tcBorders>
            <w:tcMar>
              <w:top w:w="80" w:type="dxa"/>
              <w:bottom w:w="80" w:type="dxa"/>
              <w:start w:w="110" w:type="dxa"/>
              <w:end w:w="110" w:type="dxa"/>
            </w:tcMar>
            <w:vAlign w:val="top"/>
          </w:tcPr>
          <w:p>
            <w:pPr>
              <w:spacing w:after="0" w:before="0" w:line="252" w:lineRule="auto"/>
            </w:pPr>
            <w:r>
              <w:rPr>
                <w:rFonts w:ascii="Helvetica Neue" w:hAnsi="Helvetica Neue"/>
                <w:b/>
                <w:color w:val="1B5A97"/>
                <w:sz w:val="17"/>
              </w:rPr>
              <w:t>Arrêté N°822</w:t>
            </w:r>
          </w:p>
        </w:tc>
        <w:tc>
          <w:tcPr>
            <w:tcW w:type="dxa" w:w="3628"/>
            <w:shd w:val="clear" w:color="auto" w:fill="FFFFFF"/>
            <w:tcBorders>
              <w:top w:val="nil"/>
              <w:left w:val="nil"/>
              <w:bottom w:val="single" w:sz="4" w:color="E4EAF1"/>
              <w:right w:val="nil"/>
            </w:tcBorders>
            <w:tcMar>
              <w:top w:w="80" w:type="dxa"/>
              <w:bottom w:w="80" w:type="dxa"/>
              <w:start w:w="110" w:type="dxa"/>
              <w:end w:w="110" w:type="dxa"/>
            </w:tcMar>
            <w:vAlign w:val="top"/>
          </w:tcPr>
          <w:p>
            <w:pPr>
              <w:spacing w:after="0" w:before="0" w:line="252" w:lineRule="auto"/>
            </w:pPr>
            <w:r>
              <w:rPr>
                <w:rFonts w:ascii="Helvetica Neue" w:hAnsi="Helvetica Neue"/>
                <w:b w:val="0"/>
                <w:color w:val="13202F"/>
                <w:sz w:val="17"/>
              </w:rPr>
              <w:t>Production, distribution et vente d’énergie électrique</w:t>
            </w:r>
          </w:p>
        </w:tc>
        <w:tc>
          <w:tcPr>
            <w:tcW w:type="dxa" w:w="3061"/>
            <w:shd w:val="clear" w:color="auto" w:fill="FFFFFF"/>
            <w:tcBorders>
              <w:top w:val="nil"/>
              <w:left w:val="nil"/>
              <w:bottom w:val="single" w:sz="4" w:color="E4EAF1"/>
              <w:right w:val="nil"/>
            </w:tcBorders>
            <w:tcMar>
              <w:top w:w="80" w:type="dxa"/>
              <w:bottom w:w="80" w:type="dxa"/>
              <w:start w:w="110" w:type="dxa"/>
              <w:end w:w="11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Helvetica Neue" w:hAnsi="Helvetica Neue"/>
                <w:b/>
                <w:color w:val="0E3A66"/>
                <w:sz w:val="17"/>
              </w:rPr>
              <w:t>Licence en date du 10 Mars 2008</w:t>
            </w:r>
          </w:p>
          <w:p>
            <w:pPr>
              <w:spacing w:after="0" w:line="252" w:lineRule="auto"/>
            </w:pPr>
            <w:r>
              <w:rPr>
                <w:rFonts w:ascii="Helvetica Neue" w:hAnsi="Helvetica Neue"/>
                <w:b w:val="0"/>
                <w:color w:val="64748B"/>
                <w:sz w:val="17"/>
              </w:rPr>
              <w:t>Licence d’une durée de sept ans</w:t>
            </w:r>
          </w:p>
        </w:tc>
      </w:tr>
      <w:tr>
        <w:trPr>
          <w:cantSplit/>
        </w:trPr>
        <w:tc>
          <w:tcPr>
            <w:tcW w:type="dxa" w:w="3742"/>
            <w:shd w:val="clear" w:color="auto" w:fill="F3F7FC"/>
            <w:tcBorders>
              <w:top w:val="nil"/>
              <w:left w:val="nil"/>
              <w:bottom w:val="single" w:sz="4" w:color="E4EAF1"/>
              <w:right w:val="nil"/>
            </w:tcBorders>
            <w:tcMar>
              <w:top w:w="80" w:type="dxa"/>
              <w:bottom w:w="80" w:type="dxa"/>
              <w:start w:w="110" w:type="dxa"/>
              <w:end w:w="110" w:type="dxa"/>
            </w:tcMar>
            <w:vAlign w:val="top"/>
          </w:tcPr>
          <w:p>
            <w:pPr>
              <w:spacing w:after="0" w:before="0" w:line="252" w:lineRule="auto"/>
            </w:pPr>
            <w:r>
              <w:rPr>
                <w:rFonts w:ascii="Poppins" w:hAnsi="Poppins"/>
                <w:b/>
                <w:color w:val="0E3A66"/>
                <w:sz w:val="18"/>
              </w:rPr>
              <w:t>Licence pour la délégation du service Public d’électricité dans la Ville de Tichitt</w:t>
            </w:r>
          </w:p>
        </w:tc>
        <w:tc>
          <w:tcPr>
            <w:tcW w:type="dxa" w:w="2381"/>
            <w:shd w:val="clear" w:color="auto" w:fill="F3F7FC"/>
            <w:tcBorders>
              <w:top w:val="nil"/>
              <w:left w:val="nil"/>
              <w:bottom w:val="single" w:sz="4" w:color="E4EAF1"/>
              <w:right w:val="nil"/>
            </w:tcBorders>
            <w:tcMar>
              <w:top w:w="80" w:type="dxa"/>
              <w:bottom w:w="80" w:type="dxa"/>
              <w:start w:w="110" w:type="dxa"/>
              <w:end w:w="110" w:type="dxa"/>
            </w:tcMar>
            <w:vAlign w:val="top"/>
          </w:tcPr>
          <w:p>
            <w:pPr>
              <w:spacing w:after="0" w:before="0" w:line="252" w:lineRule="auto"/>
            </w:pPr>
            <w:r>
              <w:rPr>
                <w:rFonts w:ascii="Helvetica Neue" w:hAnsi="Helvetica Neue"/>
                <w:b w:val="0"/>
                <w:color w:val="13202F"/>
                <w:sz w:val="17"/>
              </w:rPr>
              <w:t>Ministère de pétrole, d’énergie et des Mines</w:t>
            </w:r>
          </w:p>
        </w:tc>
        <w:tc>
          <w:tcPr>
            <w:tcW w:type="dxa" w:w="2381"/>
            <w:shd w:val="clear" w:color="auto" w:fill="F3F7FC"/>
            <w:tcBorders>
              <w:top w:val="nil"/>
              <w:left w:val="nil"/>
              <w:bottom w:val="single" w:sz="4" w:color="E4EAF1"/>
              <w:right w:val="nil"/>
            </w:tcBorders>
            <w:tcMar>
              <w:top w:w="80" w:type="dxa"/>
              <w:bottom w:w="80" w:type="dxa"/>
              <w:start w:w="110" w:type="dxa"/>
              <w:end w:w="110" w:type="dxa"/>
            </w:tcMar>
            <w:vAlign w:val="top"/>
          </w:tcPr>
          <w:p>
            <w:pPr>
              <w:spacing w:after="0" w:before="0" w:line="252" w:lineRule="auto"/>
            </w:pPr>
            <w:r>
              <w:rPr>
                <w:rFonts w:ascii="Helvetica Neue" w:hAnsi="Helvetica Neue"/>
                <w:b/>
                <w:color w:val="1B5A97"/>
                <w:sz w:val="17"/>
              </w:rPr>
              <w:t>Arrêté N°665</w:t>
            </w:r>
          </w:p>
        </w:tc>
        <w:tc>
          <w:tcPr>
            <w:tcW w:type="dxa" w:w="3628"/>
            <w:shd w:val="clear" w:color="auto" w:fill="F3F7FC"/>
            <w:tcBorders>
              <w:top w:val="nil"/>
              <w:left w:val="nil"/>
              <w:bottom w:val="single" w:sz="4" w:color="E4EAF1"/>
              <w:right w:val="nil"/>
            </w:tcBorders>
            <w:tcMar>
              <w:top w:w="80" w:type="dxa"/>
              <w:bottom w:w="80" w:type="dxa"/>
              <w:start w:w="110" w:type="dxa"/>
              <w:end w:w="110" w:type="dxa"/>
            </w:tcMar>
            <w:vAlign w:val="top"/>
          </w:tcPr>
          <w:p>
            <w:pPr>
              <w:spacing w:after="0" w:before="0" w:line="252" w:lineRule="auto"/>
            </w:pPr>
            <w:r>
              <w:rPr>
                <w:rFonts w:ascii="Helvetica Neue" w:hAnsi="Helvetica Neue"/>
                <w:b w:val="0"/>
                <w:color w:val="13202F"/>
                <w:sz w:val="17"/>
              </w:rPr>
              <w:t>Production, distribution et vente d’énergie électrique</w:t>
            </w:r>
          </w:p>
        </w:tc>
        <w:tc>
          <w:tcPr>
            <w:tcW w:type="dxa" w:w="3061"/>
            <w:shd w:val="clear" w:color="auto" w:fill="F3F7FC"/>
            <w:tcBorders>
              <w:top w:val="nil"/>
              <w:left w:val="nil"/>
              <w:bottom w:val="single" w:sz="4" w:color="E4EAF1"/>
              <w:right w:val="nil"/>
            </w:tcBorders>
            <w:tcMar>
              <w:top w:w="80" w:type="dxa"/>
              <w:bottom w:w="80" w:type="dxa"/>
              <w:start w:w="110" w:type="dxa"/>
              <w:end w:w="11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Helvetica Neue" w:hAnsi="Helvetica Neue"/>
                <w:b/>
                <w:color w:val="0E3A66"/>
                <w:sz w:val="17"/>
              </w:rPr>
              <w:t>Licence en date du 01 Mars 2007</w:t>
            </w:r>
          </w:p>
          <w:p>
            <w:pPr>
              <w:spacing w:after="0" w:line="252" w:lineRule="auto"/>
            </w:pPr>
            <w:r>
              <w:rPr>
                <w:rFonts w:ascii="Helvetica Neue" w:hAnsi="Helvetica Neue"/>
                <w:b w:val="0"/>
                <w:color w:val="64748B"/>
                <w:sz w:val="17"/>
              </w:rPr>
              <w:t>Licence d’une durée de sept ans</w:t>
            </w:r>
          </w:p>
        </w:tc>
      </w:tr>
      <w:tr>
        <w:trPr>
          <w:cantSplit/>
        </w:trPr>
        <w:tc>
          <w:tcPr>
            <w:tcW w:type="dxa" w:w="3742"/>
            <w:shd w:val="clear" w:color="auto" w:fill="FFFFFF"/>
            <w:tcBorders>
              <w:top w:val="nil"/>
              <w:left w:val="nil"/>
              <w:bottom w:val="single" w:sz="4" w:color="E4EAF1"/>
              <w:right w:val="nil"/>
            </w:tcBorders>
            <w:tcMar>
              <w:top w:w="80" w:type="dxa"/>
              <w:bottom w:w="80" w:type="dxa"/>
              <w:start w:w="110" w:type="dxa"/>
              <w:end w:w="110" w:type="dxa"/>
            </w:tcMar>
            <w:vAlign w:val="top"/>
          </w:tcPr>
          <w:p>
            <w:pPr>
              <w:spacing w:after="0" w:before="0" w:line="252" w:lineRule="auto"/>
            </w:pPr>
            <w:r>
              <w:rPr>
                <w:rFonts w:ascii="Poppins" w:hAnsi="Poppins"/>
                <w:b/>
                <w:color w:val="0E3A66"/>
                <w:sz w:val="18"/>
              </w:rPr>
              <w:t>Licence pour la délégation du service Public d’électricité dans la Ville de Rachid</w:t>
            </w:r>
          </w:p>
        </w:tc>
        <w:tc>
          <w:tcPr>
            <w:tcW w:type="dxa" w:w="2381"/>
            <w:shd w:val="clear" w:color="auto" w:fill="FFFFFF"/>
            <w:tcBorders>
              <w:top w:val="nil"/>
              <w:left w:val="nil"/>
              <w:bottom w:val="single" w:sz="4" w:color="E4EAF1"/>
              <w:right w:val="nil"/>
            </w:tcBorders>
            <w:tcMar>
              <w:top w:w="80" w:type="dxa"/>
              <w:bottom w:w="80" w:type="dxa"/>
              <w:start w:w="110" w:type="dxa"/>
              <w:end w:w="110" w:type="dxa"/>
            </w:tcMar>
            <w:vAlign w:val="top"/>
          </w:tcPr>
          <w:p>
            <w:pPr>
              <w:spacing w:after="0" w:before="0" w:line="252" w:lineRule="auto"/>
            </w:pPr>
            <w:r>
              <w:rPr>
                <w:rFonts w:ascii="Helvetica Neue" w:hAnsi="Helvetica Neue"/>
                <w:b w:val="0"/>
                <w:color w:val="13202F"/>
                <w:sz w:val="17"/>
              </w:rPr>
              <w:t>Ministère de pétrole, d’énergie et des Mines</w:t>
            </w:r>
          </w:p>
        </w:tc>
        <w:tc>
          <w:tcPr>
            <w:tcW w:type="dxa" w:w="2381"/>
            <w:shd w:val="clear" w:color="auto" w:fill="FFFFFF"/>
            <w:tcBorders>
              <w:top w:val="nil"/>
              <w:left w:val="nil"/>
              <w:bottom w:val="single" w:sz="4" w:color="E4EAF1"/>
              <w:right w:val="nil"/>
            </w:tcBorders>
            <w:tcMar>
              <w:top w:w="80" w:type="dxa"/>
              <w:bottom w:w="80" w:type="dxa"/>
              <w:start w:w="110" w:type="dxa"/>
              <w:end w:w="110" w:type="dxa"/>
            </w:tcMar>
            <w:vAlign w:val="top"/>
          </w:tcPr>
          <w:p>
            <w:pPr>
              <w:spacing w:after="0" w:before="0" w:line="252" w:lineRule="auto"/>
            </w:pPr>
            <w:r>
              <w:rPr>
                <w:rFonts w:ascii="Helvetica Neue" w:hAnsi="Helvetica Neue"/>
                <w:b/>
                <w:color w:val="1B5A97"/>
                <w:sz w:val="17"/>
              </w:rPr>
              <w:t>Arrêté N°651</w:t>
            </w:r>
          </w:p>
        </w:tc>
        <w:tc>
          <w:tcPr>
            <w:tcW w:type="dxa" w:w="3628"/>
            <w:shd w:val="clear" w:color="auto" w:fill="FFFFFF"/>
            <w:tcBorders>
              <w:top w:val="nil"/>
              <w:left w:val="nil"/>
              <w:bottom w:val="single" w:sz="4" w:color="E4EAF1"/>
              <w:right w:val="nil"/>
            </w:tcBorders>
            <w:tcMar>
              <w:top w:w="80" w:type="dxa"/>
              <w:bottom w:w="80" w:type="dxa"/>
              <w:start w:w="110" w:type="dxa"/>
              <w:end w:w="110" w:type="dxa"/>
            </w:tcMar>
            <w:vAlign w:val="top"/>
          </w:tcPr>
          <w:p>
            <w:pPr>
              <w:spacing w:after="0" w:before="0" w:line="252" w:lineRule="auto"/>
            </w:pPr>
            <w:r>
              <w:rPr>
                <w:rFonts w:ascii="Helvetica Neue" w:hAnsi="Helvetica Neue"/>
                <w:b w:val="0"/>
                <w:color w:val="13202F"/>
                <w:sz w:val="17"/>
              </w:rPr>
              <w:t>Production, distribution et vente d’énergie électrique</w:t>
            </w:r>
          </w:p>
        </w:tc>
        <w:tc>
          <w:tcPr>
            <w:tcW w:type="dxa" w:w="3061"/>
            <w:shd w:val="clear" w:color="auto" w:fill="FFFFFF"/>
            <w:tcBorders>
              <w:top w:val="nil"/>
              <w:left w:val="nil"/>
              <w:bottom w:val="single" w:sz="4" w:color="E4EAF1"/>
              <w:right w:val="nil"/>
            </w:tcBorders>
            <w:tcMar>
              <w:top w:w="80" w:type="dxa"/>
              <w:bottom w:w="80" w:type="dxa"/>
              <w:start w:w="110" w:type="dxa"/>
              <w:end w:w="11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Helvetica Neue" w:hAnsi="Helvetica Neue"/>
                <w:b/>
                <w:color w:val="0E3A66"/>
                <w:sz w:val="17"/>
              </w:rPr>
              <w:t>Licence en date du 01 Mars 2007</w:t>
            </w:r>
          </w:p>
          <w:p>
            <w:pPr>
              <w:spacing w:after="0" w:line="252" w:lineRule="auto"/>
            </w:pPr>
            <w:r>
              <w:rPr>
                <w:rFonts w:ascii="Helvetica Neue" w:hAnsi="Helvetica Neue"/>
                <w:b w:val="0"/>
                <w:color w:val="64748B"/>
                <w:sz w:val="17"/>
              </w:rPr>
              <w:t>Licence d’une durée de sept ans</w:t>
            </w:r>
          </w:p>
        </w:tc>
      </w:tr>
    </w:tbl>
    <w:p>
      <w:pPr>
        <w:spacing w:after="40"/>
      </w:pPr>
    </w:p>
    <w:p>
      <w:r>
        <w:rPr>
          <w:rFonts w:ascii="Poppins" w:hAnsi="Poppins"/>
          <w:b/>
          <w:color w:val="0E3A66"/>
          <w:sz w:val="16"/>
        </w:rPr>
        <w:t>CDS</w:t>
      </w:r>
      <w:r>
        <w:rPr>
          <w:rFonts w:ascii="Helvetica Neue" w:hAnsi="Helvetica Neue"/>
          <w:color w:val="64748B"/>
          <w:sz w:val="16"/>
        </w:rPr>
        <w:t xml:space="preserve">   ·   La Centrale du Solaire — Références en exploitation et maintenance (DSP)</w:t>
      </w:r>
    </w:p>
    <w:sectPr w:rsidR="00FC693F" w:rsidRPr="0006063C" w:rsidSect="00034616">
      <w:pgSz w:w="16838" w:h="11906" w:orient="landscape"/>
      <w:pgMar w:top="794" w:right="794" w:bottom="794" w:left="79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